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widowControl/>
        <w:jc w:val="center"/>
        <w:textAlignment w:val="center"/>
        <w:rPr>
          <w:rFonts w:hint="eastAsia" w:eastAsia="方正小标宋简体"/>
          <w:kern w:val="0"/>
          <w:sz w:val="44"/>
          <w:szCs w:val="44"/>
          <w:lang w:bidi="ar"/>
        </w:rPr>
      </w:pPr>
      <w:r>
        <w:rPr>
          <w:rFonts w:hint="eastAsia" w:eastAsia="方正小标宋简体"/>
          <w:kern w:val="0"/>
          <w:sz w:val="44"/>
          <w:szCs w:val="44"/>
          <w:lang w:bidi="ar"/>
        </w:rPr>
        <w:t>宁波市</w:t>
      </w:r>
      <w:r>
        <w:rPr>
          <w:rFonts w:eastAsia="方正小标宋简体"/>
          <w:kern w:val="0"/>
          <w:sz w:val="44"/>
          <w:szCs w:val="44"/>
          <w:lang w:bidi="ar"/>
        </w:rPr>
        <w:t>新增医疗服务价格项目及试行价格表</w:t>
      </w:r>
    </w:p>
    <w:tbl>
      <w:tblPr>
        <w:tblStyle w:val="4"/>
        <w:tblW w:w="138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3"/>
        <w:gridCol w:w="1580"/>
        <w:gridCol w:w="1675"/>
        <w:gridCol w:w="3090"/>
        <w:gridCol w:w="1155"/>
        <w:gridCol w:w="690"/>
        <w:gridCol w:w="840"/>
        <w:gridCol w:w="772"/>
        <w:gridCol w:w="772"/>
        <w:gridCol w:w="2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4" w:hRule="atLeast"/>
          <w:tblHeader/>
          <w:jc w:val="center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项目编码</w:t>
            </w: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09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项目内涵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除外内容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计价单位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napToGrid w:val="0"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价格</w:t>
            </w:r>
            <w:r>
              <w:rPr>
                <w:rFonts w:ascii="黑体" w:hAnsi="黑体" w:eastAsia="黑体"/>
                <w:bCs/>
                <w:snapToGrid w:val="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273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备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3" w:hRule="atLeast"/>
          <w:tblHeader/>
          <w:jc w:val="center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5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309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ind w:left="-57"/>
              <w:jc w:val="center"/>
              <w:textAlignment w:val="center"/>
              <w:rPr>
                <w:rFonts w:hint="eastAsia" w:ascii="黑体" w:hAnsi="黑体" w:eastAsia="黑体"/>
                <w:bCs/>
                <w:snapToGrid w:val="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18"/>
                <w:szCs w:val="18"/>
                <w:lang w:eastAsia="zh-CN" w:bidi="ar"/>
              </w:rPr>
              <w:t>三甲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ind w:left="-57"/>
              <w:jc w:val="center"/>
              <w:textAlignment w:val="center"/>
              <w:rPr>
                <w:rFonts w:hint="eastAsia" w:ascii="黑体" w:hAnsi="黑体" w:eastAsia="黑体"/>
                <w:bCs/>
                <w:snapToGrid w:val="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18"/>
                <w:szCs w:val="18"/>
                <w:lang w:eastAsia="zh-CN" w:bidi="ar"/>
              </w:rPr>
              <w:t>三乙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ind w:left="-57"/>
              <w:jc w:val="center"/>
              <w:textAlignment w:val="center"/>
              <w:rPr>
                <w:rFonts w:hint="eastAsia" w:ascii="黑体" w:hAnsi="黑体" w:eastAsia="黑体"/>
                <w:bCs/>
                <w:snapToGrid w:val="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黑体" w:hAnsi="黑体" w:eastAsia="黑体"/>
                <w:bCs/>
                <w:snapToGrid w:val="0"/>
                <w:kern w:val="0"/>
                <w:sz w:val="18"/>
                <w:szCs w:val="18"/>
                <w:lang w:eastAsia="zh-CN" w:bidi="ar"/>
              </w:rPr>
              <w:t>二级及以下</w:t>
            </w:r>
          </w:p>
        </w:tc>
        <w:tc>
          <w:tcPr>
            <w:tcW w:w="273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1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23040000900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PET/MR全身显像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11000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11000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11000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textAlignment w:val="top"/>
              <w:rPr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1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23040001000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PET/MR局部显像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6600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6600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kern w:val="0"/>
                <w:sz w:val="24"/>
                <w:lang w:val="en-US" w:eastAsia="zh-CN" w:bidi="ar"/>
              </w:rPr>
              <w:t>6600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textAlignment w:val="top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两项及两项以上按全身显像计价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68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25010290200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widowControl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尿黏多糖检测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textAlignment w:val="top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分</w:t>
            </w:r>
            <w:r>
              <w:rPr>
                <w:color w:val="auto"/>
                <w:spacing w:val="-6"/>
                <w:kern w:val="0"/>
                <w:sz w:val="24"/>
                <w:lang w:bidi="ar"/>
              </w:rPr>
              <w:t>析尿液中黏多糖的含量。样本类型：尿液。样本采集，加入试剂，测定，审核结果，录入实验室信息系统或人工登记，发送报告；按规定处理废弃物；接受临床相关咨询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rPr>
                <w:color w:val="auto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91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限浙江大学医学院附属儿童医院（有效时间截止2022年8月31日）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15B7B"/>
    <w:rsid w:val="7EB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2021-04-05T07:49:00Z</dcterms:created>
  <dc:creator>LENOVO</dc:creator>
  <cp:lastModifiedBy>市医保局招采处</cp:lastModifiedBy>
  <dcterms:modified xsi:type="dcterms:W3CDTF">2021-10-28T08:48:53Z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587F9211ABAD4DE28BD2DDA3B1675B43</vt:lpwstr>
  </property>
</Properties>
</file>